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7C" w:rsidRDefault="00526E7C" w:rsidP="00526E7C">
      <w:pPr>
        <w:jc w:val="center"/>
      </w:pPr>
      <w:bookmarkStart w:id="0" w:name="_MON_1576006544"/>
      <w:bookmarkEnd w:id="0"/>
      <w:proofErr w:type="spellStart"/>
      <w:r>
        <w:t>Питання</w:t>
      </w:r>
      <w:proofErr w:type="spellEnd"/>
      <w:r>
        <w:t xml:space="preserve"> до </w:t>
      </w:r>
      <w:proofErr w:type="spellStart"/>
      <w:r>
        <w:t>іспиту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дисципліни</w:t>
      </w:r>
      <w:proofErr w:type="spellEnd"/>
    </w:p>
    <w:p w:rsidR="00526E7C" w:rsidRDefault="00526E7C" w:rsidP="00526E7C">
      <w:pPr>
        <w:jc w:val="center"/>
        <w:rPr>
          <w:lang w:val="uk-UA"/>
        </w:rPr>
      </w:pPr>
      <w:r>
        <w:t xml:space="preserve"> «</w:t>
      </w:r>
      <w:proofErr w:type="spellStart"/>
      <w:r>
        <w:t>Судочинство</w:t>
      </w:r>
      <w:proofErr w:type="spellEnd"/>
      <w:r>
        <w:t xml:space="preserve"> в </w:t>
      </w:r>
      <w:proofErr w:type="spellStart"/>
      <w:r>
        <w:t>господарських</w:t>
      </w:r>
      <w:proofErr w:type="spellEnd"/>
      <w:r>
        <w:t xml:space="preserve"> судах»</w:t>
      </w:r>
    </w:p>
    <w:p w:rsidR="00526E7C" w:rsidRPr="00B30211" w:rsidRDefault="00526E7C" w:rsidP="00526E7C">
      <w:pPr>
        <w:jc w:val="center"/>
        <w:rPr>
          <w:lang w:val="uk-UA"/>
        </w:rPr>
      </w:pP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Історія становлення і розвитку господарських судів.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Законодавство про господарське судочинство.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Право на звернення до господарського суду.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Принципи господарського судочинства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Справи,що відносяться до юрисдикції господарських судів.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Склад учасників судового процесу.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Поняття доказів. Підстави звільнення від доказування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Письмові докази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Речові докази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Види процесуальних строків, порядок  їх обчислення.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Початок і закінчення процесуальних строків.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Поновлення та продовження процесуальних строків.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Форма і зміст позовної заяви.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Відстрочення та розстрочення сплати судового збору.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Звільнення від сплати судового збору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Судові процедури, які застосовуються  до боржника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Підвідомчість та підсудність справ про банкрутство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Підстави для порушення провадження у справі про банкрутство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Підстави повернення заяви про порушення справи про банкрутство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Порядок та наслідки відкликання заяви про порушення справи про банкрутство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 xml:space="preserve"> Підстави для відмови в порушенні провадження у справі про банкрутство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Процедура розпорядження майном: поняття, порядок введення, строк.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Розпорядник майна: порядок призначення, повноваження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Мораторій на задоволення вимог кредиторів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Види заходів до забезпечення вимог кредиторів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Виявлення кредиторів та осіб, які мають бажання взяти  участь у санації боржника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Попереднє засідання господарського суду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Підсумкове засідання суду в процедурі розпорядження майном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Підстави та порядок введення процедури санації боржника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Керуючий санацією: порядок призначення, повноваження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 xml:space="preserve"> Наслідки проведення процедури санації боржника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Підстави введення ліквідаційної процедури боржника, визнання боржника банкрутом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Наслідки визнання боржника банкрутом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Повноваження ліквідатора у справі про банкрутство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Порядок проведення оцінки та реалізації майна банкрута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Мирова угода у справі про банкрутство: поняття, порядок укладення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 xml:space="preserve">Недійсність мирової  угоди або її розірвання. 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Наслідки невиконання мирової угоди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Підстави припинення провадження у справі про банкрутство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Особливості банкр</w:t>
      </w:r>
      <w:r w:rsidR="007228E8">
        <w:t>утства фізичної особ</w:t>
      </w:r>
      <w:r w:rsidR="007228E8">
        <w:rPr>
          <w:lang w:val="ru-RU"/>
        </w:rPr>
        <w:t>и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Особливості застосування процедури банкрутства до боржника, що ліквідується власником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Вимоги до арбітражного керуючого (розпорядника майна, керуючого санацією, ліквідатора)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Сторони у справі про банкрутство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 xml:space="preserve">Учасники у справі про банкрутство 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Безспірні вимоги кредиторів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Виконавчий документ господарського суду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Строк пред’явлення виконавчого документу до виконання. Поновлення пропущеного строку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Сторони виконавчого провадження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Початок примусового виконання рішення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Відстрочка або розстрочка виконання, встановлення чи зміна способу і порядку виконання рішення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Підстави та строки зупинення вчинення  виконавчих дій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 xml:space="preserve">Підстави повернення виконавчого документа </w:t>
      </w:r>
      <w:proofErr w:type="spellStart"/>
      <w:r>
        <w:t>стягувачу</w:t>
      </w:r>
      <w:proofErr w:type="spellEnd"/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lastRenderedPageBreak/>
        <w:t>Оскарження рішень, дій або бездіяльності виконавців та посадових осіб органів державної виконавчої служби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Майно, на яке не може бути звернено стягнення в ході виконавчого провадження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Зміст рішення господарського суду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Зупинення виконання судового рішення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Правонаступництво в господарському процесі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Поняття судового збору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Розміри ставок судового збору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Порядок сплати судового збору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Підстави повернення судового збору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Склад суду та його визначення згідно Закону України «Про судоустрій і статус  суддів»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 xml:space="preserve"> Система судоустрою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Види і склад місцевих судів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Загальні положення статусу судді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Поняття господарського процесу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Принципи господарського процесу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Предмет і метод господарського процесуального права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 xml:space="preserve">Правовий статус третейських судів 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Підвідомчість справ третейським судам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Ліквідаційна маса банкрута</w:t>
      </w:r>
    </w:p>
    <w:p w:rsidR="006E1CC1" w:rsidRDefault="00E86D7E" w:rsidP="00526E7C">
      <w:pPr>
        <w:pStyle w:val="a3"/>
        <w:numPr>
          <w:ilvl w:val="0"/>
          <w:numId w:val="1"/>
        </w:numPr>
        <w:spacing w:line="240" w:lineRule="auto"/>
      </w:pPr>
      <w:r>
        <w:t>Документи, що додаються до позовної заяви</w:t>
      </w:r>
    </w:p>
    <w:p w:rsidR="00E86D7E" w:rsidRDefault="00E86D7E" w:rsidP="00526E7C">
      <w:pPr>
        <w:pStyle w:val="a3"/>
        <w:numPr>
          <w:ilvl w:val="0"/>
          <w:numId w:val="1"/>
        </w:numPr>
        <w:spacing w:line="240" w:lineRule="auto"/>
      </w:pPr>
      <w:r>
        <w:t>Форма і зміст відзиву на позов</w:t>
      </w:r>
    </w:p>
    <w:p w:rsidR="00E86D7E" w:rsidRDefault="00E86D7E" w:rsidP="00526E7C">
      <w:pPr>
        <w:pStyle w:val="a3"/>
        <w:numPr>
          <w:ilvl w:val="0"/>
          <w:numId w:val="1"/>
        </w:numPr>
        <w:spacing w:line="240" w:lineRule="auto"/>
      </w:pPr>
      <w:r>
        <w:t>Правила складення та порядок подання заперечення відповідачем</w:t>
      </w:r>
      <w:bookmarkStart w:id="1" w:name="_GoBack"/>
      <w:bookmarkEnd w:id="1"/>
    </w:p>
    <w:p w:rsidR="00E86D7E" w:rsidRDefault="00E86D7E" w:rsidP="00526E7C">
      <w:pPr>
        <w:pStyle w:val="a3"/>
        <w:numPr>
          <w:ilvl w:val="0"/>
          <w:numId w:val="1"/>
        </w:numPr>
        <w:spacing w:line="240" w:lineRule="auto"/>
      </w:pPr>
      <w:r>
        <w:t>Строки розгляду справи по суті</w:t>
      </w:r>
    </w:p>
    <w:p w:rsidR="00AF3F20" w:rsidRDefault="00AF3F20" w:rsidP="00526E7C">
      <w:pPr>
        <w:pStyle w:val="a3"/>
        <w:numPr>
          <w:ilvl w:val="0"/>
          <w:numId w:val="1"/>
        </w:numPr>
        <w:spacing w:line="240" w:lineRule="auto"/>
      </w:pPr>
      <w:r>
        <w:t>Порядок та строк подання апеляційної скарги</w:t>
      </w:r>
    </w:p>
    <w:p w:rsidR="00526E7C" w:rsidRDefault="00526E7C" w:rsidP="00526E7C">
      <w:pPr>
        <w:rPr>
          <w:lang w:val="uk-UA"/>
        </w:rPr>
      </w:pPr>
    </w:p>
    <w:p w:rsidR="007633BF" w:rsidRDefault="007633BF"/>
    <w:sectPr w:rsidR="007633BF" w:rsidSect="006130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D45"/>
    <w:multiLevelType w:val="hybridMultilevel"/>
    <w:tmpl w:val="0D5A9C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DA0"/>
    <w:rsid w:val="00007DA0"/>
    <w:rsid w:val="00526E7C"/>
    <w:rsid w:val="0061305E"/>
    <w:rsid w:val="006E1CC1"/>
    <w:rsid w:val="007228E8"/>
    <w:rsid w:val="007633BF"/>
    <w:rsid w:val="00AF3F20"/>
    <w:rsid w:val="00E8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E7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E7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Полищук</dc:creator>
  <cp:keywords/>
  <dc:description/>
  <cp:lastModifiedBy>Адм</cp:lastModifiedBy>
  <cp:revision>5</cp:revision>
  <cp:lastPrinted>2019-12-19T09:28:00Z</cp:lastPrinted>
  <dcterms:created xsi:type="dcterms:W3CDTF">2017-12-29T07:42:00Z</dcterms:created>
  <dcterms:modified xsi:type="dcterms:W3CDTF">2019-12-19T09:29:00Z</dcterms:modified>
</cp:coreProperties>
</file>